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3F" w:rsidRPr="0033503F" w:rsidRDefault="0033503F" w:rsidP="0033503F">
      <w:pPr>
        <w:pStyle w:val="Subtitle"/>
        <w:rPr>
          <w:u w:val="single"/>
        </w:rPr>
      </w:pPr>
      <w:r w:rsidRPr="0033503F">
        <w:rPr>
          <w:u w:val="single"/>
        </w:rPr>
        <w:t>Overview</w:t>
      </w:r>
    </w:p>
    <w:p w:rsidR="0033503F" w:rsidRDefault="0033503F" w:rsidP="0033503F">
      <w:pPr>
        <w:pStyle w:val="Subtitle"/>
      </w:pPr>
      <w:r>
        <w:t>Number of Sessions</w:t>
      </w:r>
      <w:r w:rsidR="00684BE3">
        <w:t xml:space="preserve">: </w:t>
      </w:r>
      <w:r w:rsidR="00970C08">
        <w:t>3</w:t>
      </w:r>
    </w:p>
    <w:p w:rsidR="0033503F" w:rsidRDefault="0033503F" w:rsidP="0033503F">
      <w:pPr>
        <w:pStyle w:val="Subtitle"/>
      </w:pPr>
      <w:r>
        <w:t xml:space="preserve">Hours: </w:t>
      </w:r>
      <w:r w:rsidR="00C003C3">
        <w:t xml:space="preserve">15 </w:t>
      </w:r>
    </w:p>
    <w:p w:rsidR="0033503F" w:rsidRDefault="0033503F" w:rsidP="0033503F">
      <w:pPr>
        <w:pStyle w:val="Subtitle"/>
      </w:pPr>
      <w:r>
        <w:t>Course Objectives</w:t>
      </w:r>
      <w:r w:rsidR="000B6386">
        <w:t xml:space="preserve">: </w:t>
      </w:r>
      <w:bookmarkStart w:id="0" w:name="_GoBack"/>
      <w:bookmarkEnd w:id="0"/>
    </w:p>
    <w:p w:rsidR="000B6386" w:rsidRPr="00684BE3" w:rsidRDefault="000B6386" w:rsidP="00684BE3">
      <w:pPr>
        <w:pStyle w:val="Heading1"/>
        <w:rPr>
          <w:rFonts w:asciiTheme="minorHAnsi" w:eastAsiaTheme="minorEastAsia" w:hAnsiTheme="minorHAnsi" w:cstheme="minorBidi"/>
          <w:i/>
          <w:color w:val="5A5A5A" w:themeColor="text1" w:themeTint="A5"/>
          <w:spacing w:val="15"/>
          <w:sz w:val="22"/>
          <w:szCs w:val="22"/>
        </w:rPr>
      </w:pPr>
      <w:r w:rsidRPr="00684BE3">
        <w:rPr>
          <w:rFonts w:asciiTheme="minorHAnsi" w:eastAsiaTheme="minorEastAsia" w:hAnsiTheme="minorHAnsi" w:cstheme="minorBidi"/>
          <w:i/>
          <w:color w:val="5A5A5A" w:themeColor="text1" w:themeTint="A5"/>
          <w:spacing w:val="15"/>
          <w:sz w:val="22"/>
          <w:szCs w:val="22"/>
        </w:rPr>
        <w:t>By the end of this workshop you will be able to:</w:t>
      </w:r>
    </w:p>
    <w:p w:rsidR="0099356D" w:rsidRDefault="0099356D" w:rsidP="0099356D">
      <w:pPr>
        <w:pStyle w:val="Heading1"/>
        <w:numPr>
          <w:ilvl w:val="0"/>
          <w:numId w:val="19"/>
        </w:numPr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</w:pPr>
      <w:r w:rsidRPr="0099356D"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  <w:t>Develop strategies for achieving file closure in an effective and efficient manner</w:t>
      </w:r>
    </w:p>
    <w:p w:rsidR="0099356D" w:rsidRDefault="0099356D" w:rsidP="0099356D">
      <w:pPr>
        <w:pStyle w:val="Heading1"/>
        <w:numPr>
          <w:ilvl w:val="0"/>
          <w:numId w:val="19"/>
        </w:numPr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</w:pPr>
      <w:r w:rsidRPr="0099356D"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  <w:t>Implement adjustment processes focused on improving outcomes</w:t>
      </w:r>
    </w:p>
    <w:p w:rsidR="0099356D" w:rsidRDefault="0099356D" w:rsidP="0099356D">
      <w:pPr>
        <w:pStyle w:val="Heading1"/>
        <w:numPr>
          <w:ilvl w:val="0"/>
          <w:numId w:val="19"/>
        </w:numPr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</w:pPr>
      <w:r w:rsidRPr="0099356D"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  <w:t>Analyze and determine best methods of claims services engagement</w:t>
      </w:r>
    </w:p>
    <w:p w:rsidR="0099356D" w:rsidRDefault="0099356D" w:rsidP="0099356D">
      <w:pPr>
        <w:pStyle w:val="Heading1"/>
        <w:numPr>
          <w:ilvl w:val="0"/>
          <w:numId w:val="19"/>
        </w:numPr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</w:pPr>
      <w:r w:rsidRPr="0099356D"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  <w:t>Develop guidelines for claims administration that are supported by risk management personnel</w:t>
      </w:r>
    </w:p>
    <w:p w:rsidR="0099356D" w:rsidRDefault="0099356D" w:rsidP="0099356D">
      <w:pPr>
        <w:pStyle w:val="Heading1"/>
        <w:numPr>
          <w:ilvl w:val="0"/>
          <w:numId w:val="19"/>
        </w:numPr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</w:pPr>
      <w:r w:rsidRPr="0099356D"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  <w:t>Engage more effectively when losses occur</w:t>
      </w:r>
    </w:p>
    <w:p w:rsidR="009B1E26" w:rsidRDefault="00970C08" w:rsidP="0099356D">
      <w:pPr>
        <w:pStyle w:val="Heading1"/>
        <w:rPr>
          <w:color w:val="auto"/>
          <w:u w:val="single"/>
        </w:rPr>
      </w:pPr>
      <w:r w:rsidRPr="00155D6B">
        <w:rPr>
          <w:color w:val="auto"/>
          <w:u w:val="single"/>
        </w:rPr>
        <w:t xml:space="preserve">Day 1 </w:t>
      </w:r>
    </w:p>
    <w:p w:rsidR="00BE5F38" w:rsidRPr="00BE5F38" w:rsidRDefault="00BE5F38" w:rsidP="00BE5F38">
      <w:pPr>
        <w:pStyle w:val="Heading2"/>
        <w:rPr>
          <w:b/>
          <w:color w:val="auto"/>
        </w:rPr>
      </w:pPr>
      <w:r w:rsidRPr="00BE5F38">
        <w:rPr>
          <w:b/>
          <w:color w:val="auto"/>
        </w:rPr>
        <w:t xml:space="preserve">Introduction </w:t>
      </w:r>
    </w:p>
    <w:p w:rsidR="0099356D" w:rsidRPr="00373462" w:rsidRDefault="00BE5F38" w:rsidP="00BE5F38">
      <w:pPr>
        <w:pStyle w:val="Subtitle"/>
        <w:numPr>
          <w:ilvl w:val="0"/>
          <w:numId w:val="33"/>
        </w:numPr>
      </w:pPr>
      <w:r>
        <w:t>Intro and</w:t>
      </w:r>
      <w:r w:rsidR="005C27BF" w:rsidRPr="00373462">
        <w:t xml:space="preserve"> Learning Objectives </w:t>
      </w:r>
    </w:p>
    <w:p w:rsidR="005C27BF" w:rsidRDefault="005C27BF" w:rsidP="00BE5F38">
      <w:pPr>
        <w:pStyle w:val="Subtitle"/>
        <w:numPr>
          <w:ilvl w:val="0"/>
          <w:numId w:val="33"/>
        </w:numPr>
      </w:pPr>
      <w:r>
        <w:t xml:space="preserve">Housekeeping: Virtual Components  </w:t>
      </w:r>
    </w:p>
    <w:p w:rsidR="005C27BF" w:rsidRPr="00B26964" w:rsidRDefault="005C27BF" w:rsidP="00B26964">
      <w:pPr>
        <w:pStyle w:val="Heading2"/>
        <w:rPr>
          <w:b/>
          <w:color w:val="auto"/>
        </w:rPr>
      </w:pPr>
      <w:r w:rsidRPr="00B26964">
        <w:rPr>
          <w:b/>
          <w:color w:val="auto"/>
        </w:rPr>
        <w:t>Module 1: Managing the Claim Process</w:t>
      </w:r>
    </w:p>
    <w:p w:rsidR="00155D6B" w:rsidRDefault="00373462" w:rsidP="00197D1E">
      <w:pPr>
        <w:pStyle w:val="Subtitle"/>
        <w:numPr>
          <w:ilvl w:val="0"/>
          <w:numId w:val="22"/>
        </w:numPr>
      </w:pPr>
      <w:r w:rsidRPr="00373462">
        <w:t xml:space="preserve">Claim Process Comparison </w:t>
      </w:r>
    </w:p>
    <w:p w:rsidR="00155D6B" w:rsidRDefault="00373462" w:rsidP="00197D1E">
      <w:pPr>
        <w:pStyle w:val="Subtitle"/>
        <w:numPr>
          <w:ilvl w:val="0"/>
          <w:numId w:val="22"/>
        </w:numPr>
      </w:pPr>
      <w:r w:rsidRPr="00373462">
        <w:t>Occurrence/Event</w:t>
      </w:r>
    </w:p>
    <w:p w:rsidR="00155D6B" w:rsidRDefault="00373462" w:rsidP="00197D1E">
      <w:pPr>
        <w:pStyle w:val="Subtitle"/>
        <w:numPr>
          <w:ilvl w:val="0"/>
          <w:numId w:val="22"/>
        </w:numPr>
      </w:pPr>
      <w:r w:rsidRPr="00373462">
        <w:t xml:space="preserve">Coverage Determination </w:t>
      </w:r>
    </w:p>
    <w:p w:rsidR="00155D6B" w:rsidRDefault="00373462" w:rsidP="00197D1E">
      <w:pPr>
        <w:pStyle w:val="Subtitle"/>
        <w:numPr>
          <w:ilvl w:val="0"/>
          <w:numId w:val="22"/>
        </w:numPr>
      </w:pPr>
      <w:r w:rsidRPr="00373462">
        <w:t xml:space="preserve">Investigation </w:t>
      </w:r>
    </w:p>
    <w:p w:rsidR="00155D6B" w:rsidRDefault="00373462" w:rsidP="00B26964">
      <w:pPr>
        <w:pStyle w:val="Subtitle"/>
        <w:numPr>
          <w:ilvl w:val="0"/>
          <w:numId w:val="22"/>
        </w:numPr>
      </w:pPr>
      <w:r w:rsidRPr="00373462">
        <w:t xml:space="preserve">Damages </w:t>
      </w:r>
    </w:p>
    <w:p w:rsidR="006637EB" w:rsidRPr="00B26964" w:rsidRDefault="00373462" w:rsidP="00B26964">
      <w:pPr>
        <w:pStyle w:val="Subtitle"/>
        <w:numPr>
          <w:ilvl w:val="0"/>
          <w:numId w:val="22"/>
        </w:numPr>
      </w:pPr>
      <w:r w:rsidRPr="00373462">
        <w:t xml:space="preserve">Claim Resolution </w:t>
      </w:r>
      <w:r w:rsidR="005C27BF">
        <w:tab/>
      </w:r>
    </w:p>
    <w:p w:rsidR="000F11D0" w:rsidRPr="00B26964" w:rsidRDefault="00373462" w:rsidP="00B26964">
      <w:pPr>
        <w:pStyle w:val="Heading2"/>
        <w:rPr>
          <w:rStyle w:val="IntenseReference"/>
          <w:rFonts w:asciiTheme="minorHAnsi" w:eastAsiaTheme="minorEastAsia" w:hAnsiTheme="minorHAnsi" w:cstheme="minorBidi"/>
          <w:sz w:val="22"/>
          <w:szCs w:val="22"/>
        </w:rPr>
      </w:pPr>
      <w:r w:rsidRPr="00B26964">
        <w:rPr>
          <w:rStyle w:val="IntenseReference"/>
          <w:rFonts w:cstheme="majorHAnsi"/>
          <w:color w:val="auto"/>
        </w:rPr>
        <w:t xml:space="preserve">Module 2: </w:t>
      </w:r>
      <w:r w:rsidR="001B3FC4" w:rsidRPr="00B26964">
        <w:rPr>
          <w:rStyle w:val="IntenseReference"/>
          <w:rFonts w:cstheme="majorHAnsi"/>
          <w:color w:val="auto"/>
        </w:rPr>
        <w:t>Involvement</w:t>
      </w:r>
      <w:r w:rsidRPr="00B26964">
        <w:rPr>
          <w:rStyle w:val="IntenseReference"/>
          <w:rFonts w:cstheme="majorHAnsi"/>
          <w:color w:val="auto"/>
        </w:rPr>
        <w:t xml:space="preserve"> of the </w:t>
      </w:r>
      <w:r w:rsidR="001B3FC4" w:rsidRPr="00B26964">
        <w:rPr>
          <w:rStyle w:val="IntenseReference"/>
          <w:rFonts w:cstheme="majorHAnsi"/>
          <w:color w:val="auto"/>
        </w:rPr>
        <w:t xml:space="preserve">Two Parties </w:t>
      </w:r>
    </w:p>
    <w:p w:rsidR="00155D6B" w:rsidRDefault="001B3FC4" w:rsidP="00A956DA">
      <w:pPr>
        <w:pStyle w:val="Subtitle"/>
        <w:numPr>
          <w:ilvl w:val="0"/>
          <w:numId w:val="23"/>
        </w:numPr>
      </w:pPr>
      <w:r w:rsidRPr="00A956DA">
        <w:t>Risk Manager’s Role</w:t>
      </w:r>
    </w:p>
    <w:p w:rsidR="00155D6B" w:rsidRDefault="001B3FC4" w:rsidP="00A956DA">
      <w:pPr>
        <w:pStyle w:val="Subtitle"/>
        <w:numPr>
          <w:ilvl w:val="0"/>
          <w:numId w:val="23"/>
        </w:numPr>
      </w:pPr>
      <w:r w:rsidRPr="00A956DA">
        <w:t>Claim Anatomy</w:t>
      </w:r>
    </w:p>
    <w:p w:rsidR="001B3FC4" w:rsidRDefault="00A956DA" w:rsidP="00A956DA">
      <w:pPr>
        <w:pStyle w:val="Subtitle"/>
        <w:numPr>
          <w:ilvl w:val="0"/>
          <w:numId w:val="23"/>
        </w:numPr>
      </w:pPr>
      <w:r w:rsidRPr="00A956DA">
        <w:t xml:space="preserve">Adjuster’s </w:t>
      </w:r>
      <w:r>
        <w:t xml:space="preserve">Role and </w:t>
      </w:r>
      <w:r w:rsidRPr="00A956DA">
        <w:t>Responsibilities</w:t>
      </w:r>
    </w:p>
    <w:p w:rsidR="00A956DA" w:rsidRPr="00B26964" w:rsidRDefault="00A956DA" w:rsidP="00B26964">
      <w:pPr>
        <w:pStyle w:val="Heading2"/>
        <w:rPr>
          <w:b/>
          <w:color w:val="auto"/>
        </w:rPr>
      </w:pPr>
      <w:r w:rsidRPr="00B26964">
        <w:rPr>
          <w:b/>
          <w:color w:val="auto"/>
        </w:rPr>
        <w:t xml:space="preserve">Module 3: Claim Quality Controls </w:t>
      </w:r>
    </w:p>
    <w:p w:rsidR="00082971" w:rsidRDefault="00A956DA" w:rsidP="00082971">
      <w:pPr>
        <w:pStyle w:val="Subtitle"/>
        <w:numPr>
          <w:ilvl w:val="0"/>
          <w:numId w:val="24"/>
        </w:numPr>
      </w:pPr>
      <w:r w:rsidRPr="00A956DA">
        <w:t>Purpose of Claim Controls</w:t>
      </w:r>
    </w:p>
    <w:p w:rsidR="00082971" w:rsidRPr="00082971" w:rsidRDefault="00082971" w:rsidP="00082971">
      <w:pPr>
        <w:pStyle w:val="Subtitle"/>
        <w:numPr>
          <w:ilvl w:val="0"/>
          <w:numId w:val="24"/>
        </w:numPr>
      </w:pPr>
      <w:r>
        <w:t xml:space="preserve">Claims Process Management Tools </w:t>
      </w:r>
    </w:p>
    <w:p w:rsidR="00082971" w:rsidRPr="00082971" w:rsidRDefault="00082971" w:rsidP="00082971"/>
    <w:p w:rsidR="00155D6B" w:rsidRDefault="00A956DA" w:rsidP="00A956DA">
      <w:pPr>
        <w:pStyle w:val="Subtitle"/>
        <w:numPr>
          <w:ilvl w:val="0"/>
          <w:numId w:val="24"/>
        </w:numPr>
      </w:pPr>
      <w:r w:rsidRPr="00A956DA">
        <w:t>Focus on Claim Closure</w:t>
      </w:r>
    </w:p>
    <w:p w:rsidR="00155D6B" w:rsidRDefault="00A956DA" w:rsidP="00A956DA">
      <w:pPr>
        <w:pStyle w:val="Subtitle"/>
        <w:numPr>
          <w:ilvl w:val="0"/>
          <w:numId w:val="24"/>
        </w:numPr>
      </w:pPr>
      <w:r w:rsidRPr="00A956DA">
        <w:t>Resolution Strategies</w:t>
      </w:r>
    </w:p>
    <w:p w:rsidR="00155D6B" w:rsidRDefault="00A956DA" w:rsidP="00C003C3">
      <w:pPr>
        <w:pStyle w:val="Subtitle"/>
        <w:numPr>
          <w:ilvl w:val="0"/>
          <w:numId w:val="24"/>
        </w:numPr>
      </w:pPr>
      <w:r w:rsidRPr="00A956DA">
        <w:t>Alternative Dispute Resolution</w:t>
      </w:r>
      <w:r w:rsidRPr="00A956DA">
        <w:br/>
        <w:t>(ADR) Benefits</w:t>
      </w:r>
    </w:p>
    <w:p w:rsidR="00C003C3" w:rsidRDefault="00155D6B" w:rsidP="00C003C3">
      <w:pPr>
        <w:pStyle w:val="Subtitle"/>
        <w:numPr>
          <w:ilvl w:val="0"/>
          <w:numId w:val="24"/>
        </w:numPr>
        <w:rPr>
          <w:bCs/>
        </w:rPr>
      </w:pPr>
      <w:r w:rsidRPr="00155D6B">
        <w:rPr>
          <w:bCs/>
        </w:rPr>
        <w:t>Arbitration Alternatives</w:t>
      </w:r>
    </w:p>
    <w:p w:rsidR="009B1E26" w:rsidRPr="00B26964" w:rsidRDefault="005D5928" w:rsidP="00B26964">
      <w:pPr>
        <w:pStyle w:val="Heading2"/>
        <w:rPr>
          <w:color w:val="auto"/>
        </w:rPr>
      </w:pPr>
      <w:r w:rsidRPr="00B26964">
        <w:rPr>
          <w:rStyle w:val="IntenseReference"/>
          <w:bCs w:val="0"/>
          <w:smallCaps w:val="0"/>
          <w:color w:val="auto"/>
          <w:spacing w:val="0"/>
        </w:rPr>
        <w:t>Module 4:</w:t>
      </w:r>
      <w:r w:rsidR="00B26964" w:rsidRPr="00B26964">
        <w:rPr>
          <w:rStyle w:val="IntenseReference"/>
          <w:bCs w:val="0"/>
          <w:smallCaps w:val="0"/>
          <w:color w:val="auto"/>
          <w:spacing w:val="0"/>
        </w:rPr>
        <w:t xml:space="preserve"> </w:t>
      </w:r>
      <w:r w:rsidRPr="00B26964">
        <w:rPr>
          <w:b/>
          <w:color w:val="auto"/>
        </w:rPr>
        <w:t>Litigation Management</w:t>
      </w:r>
    </w:p>
    <w:p w:rsidR="00155D6B" w:rsidRDefault="005D5928" w:rsidP="005D5928">
      <w:pPr>
        <w:pStyle w:val="Subtitle"/>
        <w:numPr>
          <w:ilvl w:val="0"/>
          <w:numId w:val="25"/>
        </w:numPr>
      </w:pPr>
      <w:r w:rsidRPr="005D5928">
        <w:t>Terms and Concepts</w:t>
      </w:r>
    </w:p>
    <w:p w:rsidR="00155D6B" w:rsidRDefault="002E38B0" w:rsidP="005D5928">
      <w:pPr>
        <w:pStyle w:val="Subtitle"/>
        <w:numPr>
          <w:ilvl w:val="0"/>
          <w:numId w:val="25"/>
        </w:numPr>
      </w:pPr>
      <w:r w:rsidRPr="005D5928">
        <w:t>Civil vs.</w:t>
      </w:r>
      <w:r w:rsidR="005D5928" w:rsidRPr="005D5928">
        <w:t xml:space="preserve"> Criminal</w:t>
      </w:r>
    </w:p>
    <w:p w:rsidR="00155D6B" w:rsidRDefault="005D5928" w:rsidP="005D5928">
      <w:pPr>
        <w:pStyle w:val="Subtitle"/>
        <w:numPr>
          <w:ilvl w:val="0"/>
          <w:numId w:val="25"/>
        </w:numPr>
      </w:pPr>
      <w:r w:rsidRPr="005D5928">
        <w:t>Types of Law</w:t>
      </w:r>
    </w:p>
    <w:p w:rsidR="00155D6B" w:rsidRDefault="005D5928" w:rsidP="005D5928">
      <w:pPr>
        <w:pStyle w:val="Subtitle"/>
        <w:numPr>
          <w:ilvl w:val="0"/>
          <w:numId w:val="25"/>
        </w:numPr>
      </w:pPr>
      <w:r w:rsidRPr="005D5928">
        <w:t>Federal Court System</w:t>
      </w:r>
    </w:p>
    <w:p w:rsidR="00155D6B" w:rsidRDefault="005D5928" w:rsidP="005D5928">
      <w:pPr>
        <w:pStyle w:val="Subtitle"/>
        <w:numPr>
          <w:ilvl w:val="0"/>
          <w:numId w:val="25"/>
        </w:numPr>
      </w:pPr>
      <w:r w:rsidRPr="005D5928">
        <w:t>State Court Systems</w:t>
      </w:r>
    </w:p>
    <w:p w:rsidR="00155D6B" w:rsidRDefault="005D5928" w:rsidP="005D5928">
      <w:pPr>
        <w:pStyle w:val="Subtitle"/>
        <w:numPr>
          <w:ilvl w:val="0"/>
          <w:numId w:val="25"/>
        </w:numPr>
      </w:pPr>
      <w:r>
        <w:t xml:space="preserve">Evidence </w:t>
      </w:r>
    </w:p>
    <w:p w:rsidR="00155D6B" w:rsidRDefault="005D5928" w:rsidP="00155D6B">
      <w:pPr>
        <w:pStyle w:val="Subtitle"/>
        <w:numPr>
          <w:ilvl w:val="0"/>
          <w:numId w:val="25"/>
        </w:numPr>
      </w:pPr>
      <w:r w:rsidRPr="005D5928">
        <w:t>Negligence</w:t>
      </w:r>
    </w:p>
    <w:p w:rsidR="00B26964" w:rsidRDefault="005D5928" w:rsidP="00155D6B">
      <w:pPr>
        <w:pStyle w:val="Subtitle"/>
        <w:numPr>
          <w:ilvl w:val="0"/>
          <w:numId w:val="25"/>
        </w:numPr>
      </w:pPr>
      <w:r w:rsidRPr="005D5928">
        <w:t>Casualty Litigation</w:t>
      </w:r>
    </w:p>
    <w:p w:rsidR="009B1E26" w:rsidRPr="00B26964" w:rsidRDefault="005D5928" w:rsidP="00B26964">
      <w:pPr>
        <w:pStyle w:val="Heading2"/>
        <w:rPr>
          <w:rStyle w:val="IntenseReference"/>
          <w:rFonts w:asciiTheme="minorHAnsi" w:eastAsiaTheme="minorEastAsia" w:hAnsiTheme="minorHAnsi" w:cstheme="minorBidi"/>
          <w:sz w:val="22"/>
          <w:szCs w:val="22"/>
        </w:rPr>
      </w:pPr>
      <w:r w:rsidRPr="00B26964">
        <w:rPr>
          <w:rStyle w:val="IntenseReference"/>
          <w:bCs w:val="0"/>
          <w:smallCaps w:val="0"/>
          <w:color w:val="auto"/>
          <w:spacing w:val="0"/>
        </w:rPr>
        <w:t xml:space="preserve">Module 5: Managing Defense Counsel </w:t>
      </w:r>
    </w:p>
    <w:p w:rsidR="00155D6B" w:rsidRDefault="005D5928" w:rsidP="002E38B0">
      <w:pPr>
        <w:pStyle w:val="Subtitle"/>
        <w:numPr>
          <w:ilvl w:val="0"/>
          <w:numId w:val="26"/>
        </w:numPr>
      </w:pPr>
      <w:r w:rsidRPr="002E38B0">
        <w:t>Role of Defense Counsel</w:t>
      </w:r>
    </w:p>
    <w:p w:rsidR="00155D6B" w:rsidRDefault="005D5928" w:rsidP="002E38B0">
      <w:pPr>
        <w:pStyle w:val="Subtitle"/>
        <w:numPr>
          <w:ilvl w:val="0"/>
          <w:numId w:val="26"/>
        </w:numPr>
      </w:pPr>
      <w:r w:rsidRPr="002E38B0">
        <w:t>Attorney Panels</w:t>
      </w:r>
    </w:p>
    <w:p w:rsidR="00155D6B" w:rsidRDefault="005D5928" w:rsidP="002E38B0">
      <w:pPr>
        <w:pStyle w:val="Subtitle"/>
        <w:numPr>
          <w:ilvl w:val="0"/>
          <w:numId w:val="26"/>
        </w:numPr>
      </w:pPr>
      <w:r w:rsidRPr="002E38B0">
        <w:t>Service Expectations</w:t>
      </w:r>
    </w:p>
    <w:p w:rsidR="00155D6B" w:rsidRDefault="002E38B0" w:rsidP="00B26964">
      <w:pPr>
        <w:pStyle w:val="Subtitle"/>
        <w:numPr>
          <w:ilvl w:val="0"/>
          <w:numId w:val="26"/>
        </w:numPr>
      </w:pPr>
      <w:r w:rsidRPr="002E38B0">
        <w:t>Trial Preparation</w:t>
      </w:r>
    </w:p>
    <w:p w:rsidR="00155D6B" w:rsidRDefault="002E38B0" w:rsidP="00B26964">
      <w:pPr>
        <w:pStyle w:val="Subtitle"/>
        <w:numPr>
          <w:ilvl w:val="0"/>
          <w:numId w:val="26"/>
        </w:numPr>
      </w:pPr>
      <w:r w:rsidRPr="002E38B0">
        <w:t>Managing Defense Counsel</w:t>
      </w:r>
    </w:p>
    <w:p w:rsidR="00D37955" w:rsidRPr="00D37955" w:rsidRDefault="00D37955" w:rsidP="00D37955">
      <w:pPr>
        <w:pStyle w:val="Heading1"/>
        <w:rPr>
          <w:color w:val="auto"/>
          <w:u w:val="single"/>
        </w:rPr>
      </w:pPr>
      <w:r w:rsidRPr="00D37955">
        <w:rPr>
          <w:color w:val="auto"/>
          <w:u w:val="single"/>
        </w:rPr>
        <w:t>Day 2</w:t>
      </w:r>
    </w:p>
    <w:p w:rsidR="002E38B0" w:rsidRPr="00B26964" w:rsidRDefault="002E38B0" w:rsidP="00155D6B">
      <w:pPr>
        <w:pStyle w:val="Subtitle"/>
        <w:numPr>
          <w:ilvl w:val="0"/>
          <w:numId w:val="0"/>
        </w:numPr>
        <w:rPr>
          <w:rStyle w:val="SubtitleChar"/>
          <w:rFonts w:asciiTheme="majorHAnsi" w:hAnsiTheme="majorHAnsi" w:cstheme="majorBidi"/>
          <w:sz w:val="32"/>
          <w:szCs w:val="32"/>
        </w:rPr>
      </w:pPr>
      <w:r w:rsidRPr="00155D6B">
        <w:rPr>
          <w:rStyle w:val="Heading2Char"/>
          <w:b/>
          <w:color w:val="auto"/>
        </w:rPr>
        <w:t>Module 6: Program Structure</w:t>
      </w:r>
    </w:p>
    <w:p w:rsidR="00155D6B" w:rsidRDefault="002E38B0" w:rsidP="002E38B0">
      <w:pPr>
        <w:pStyle w:val="Subtitle"/>
        <w:numPr>
          <w:ilvl w:val="0"/>
          <w:numId w:val="27"/>
        </w:numPr>
      </w:pPr>
      <w:r>
        <w:t xml:space="preserve">Structure Comparison </w:t>
      </w:r>
    </w:p>
    <w:p w:rsidR="00155D6B" w:rsidRDefault="002E38B0" w:rsidP="002E38B0">
      <w:pPr>
        <w:pStyle w:val="Subtitle"/>
        <w:numPr>
          <w:ilvl w:val="0"/>
          <w:numId w:val="27"/>
        </w:numPr>
      </w:pPr>
      <w:r w:rsidRPr="002E38B0">
        <w:t>Data Comparison</w:t>
      </w:r>
    </w:p>
    <w:p w:rsidR="00155D6B" w:rsidRDefault="002E38B0" w:rsidP="002E38B0">
      <w:pPr>
        <w:pStyle w:val="Subtitle"/>
        <w:numPr>
          <w:ilvl w:val="0"/>
          <w:numId w:val="27"/>
        </w:numPr>
      </w:pPr>
      <w:r w:rsidRPr="002E38B0">
        <w:t>Financial Comparison</w:t>
      </w:r>
    </w:p>
    <w:p w:rsidR="00155D6B" w:rsidRDefault="002E38B0" w:rsidP="002E38B0">
      <w:pPr>
        <w:pStyle w:val="Subtitle"/>
        <w:numPr>
          <w:ilvl w:val="0"/>
          <w:numId w:val="27"/>
        </w:numPr>
      </w:pPr>
      <w:r w:rsidRPr="002E38B0">
        <w:t>Workers Compensation</w:t>
      </w:r>
    </w:p>
    <w:p w:rsidR="00155D6B" w:rsidRDefault="002E38B0" w:rsidP="002E38B0">
      <w:pPr>
        <w:pStyle w:val="Subtitle"/>
        <w:numPr>
          <w:ilvl w:val="0"/>
          <w:numId w:val="27"/>
        </w:numPr>
      </w:pPr>
      <w:r w:rsidRPr="002E38B0">
        <w:t>Cost Containment Strategies</w:t>
      </w:r>
    </w:p>
    <w:p w:rsidR="00155D6B" w:rsidRDefault="002E38B0" w:rsidP="002E38B0">
      <w:pPr>
        <w:pStyle w:val="Subtitle"/>
        <w:numPr>
          <w:ilvl w:val="0"/>
          <w:numId w:val="27"/>
        </w:numPr>
      </w:pPr>
      <w:r>
        <w:t xml:space="preserve">Federal Acts </w:t>
      </w:r>
    </w:p>
    <w:p w:rsidR="00155D6B" w:rsidRDefault="002E38B0" w:rsidP="002E38B0">
      <w:pPr>
        <w:pStyle w:val="Subtitle"/>
        <w:numPr>
          <w:ilvl w:val="0"/>
          <w:numId w:val="27"/>
        </w:numPr>
      </w:pPr>
      <w:r>
        <w:t xml:space="preserve">Employment Discrimination </w:t>
      </w:r>
    </w:p>
    <w:p w:rsidR="00155D6B" w:rsidRDefault="002E38B0" w:rsidP="00155D6B">
      <w:pPr>
        <w:pStyle w:val="Subtitle"/>
        <w:numPr>
          <w:ilvl w:val="0"/>
          <w:numId w:val="27"/>
        </w:numPr>
      </w:pPr>
      <w:r w:rsidRPr="002E38B0">
        <w:t>Family Medical Leave Act</w:t>
      </w:r>
      <w:r>
        <w:t xml:space="preserve"> (FMLA)</w:t>
      </w:r>
    </w:p>
    <w:p w:rsidR="00D80895" w:rsidRPr="00155D6B" w:rsidRDefault="002E38B0" w:rsidP="00155D6B">
      <w:pPr>
        <w:pStyle w:val="Heading2"/>
        <w:rPr>
          <w:rStyle w:val="SubtitleChar"/>
          <w:rFonts w:asciiTheme="minorHAnsi" w:hAnsiTheme="minorHAnsi" w:cstheme="minorBidi"/>
          <w:sz w:val="22"/>
          <w:szCs w:val="22"/>
        </w:rPr>
      </w:pPr>
      <w:r w:rsidRPr="00155D6B">
        <w:rPr>
          <w:b/>
          <w:color w:val="auto"/>
        </w:rPr>
        <w:t>Module 7: Improving Performance to Improve Outcomes</w:t>
      </w:r>
    </w:p>
    <w:p w:rsidR="00155D6B" w:rsidRDefault="00197D1E" w:rsidP="00197D1E">
      <w:pPr>
        <w:pStyle w:val="Subtitle"/>
        <w:numPr>
          <w:ilvl w:val="0"/>
          <w:numId w:val="28"/>
        </w:numPr>
      </w:pPr>
      <w:r w:rsidRPr="00197D1E">
        <w:t>Techniques for Improving Performance</w:t>
      </w:r>
    </w:p>
    <w:p w:rsidR="00155D6B" w:rsidRDefault="00197D1E" w:rsidP="00197D1E">
      <w:pPr>
        <w:pStyle w:val="Subtitle"/>
        <w:numPr>
          <w:ilvl w:val="0"/>
          <w:numId w:val="28"/>
        </w:numPr>
      </w:pPr>
      <w:r w:rsidRPr="00197D1E">
        <w:t>Tools</w:t>
      </w:r>
    </w:p>
    <w:p w:rsidR="00155D6B" w:rsidRDefault="00197D1E" w:rsidP="00197D1E">
      <w:pPr>
        <w:pStyle w:val="Subtitle"/>
        <w:numPr>
          <w:ilvl w:val="0"/>
          <w:numId w:val="28"/>
        </w:numPr>
      </w:pPr>
      <w:r w:rsidRPr="00197D1E">
        <w:t>Adjuster Competencies</w:t>
      </w:r>
    </w:p>
    <w:p w:rsidR="00155D6B" w:rsidRDefault="00197D1E" w:rsidP="00155D6B">
      <w:pPr>
        <w:pStyle w:val="Subtitle"/>
        <w:numPr>
          <w:ilvl w:val="0"/>
          <w:numId w:val="28"/>
        </w:numPr>
      </w:pPr>
      <w:r w:rsidRPr="00197D1E">
        <w:t>Costs of Incompetence</w:t>
      </w:r>
    </w:p>
    <w:p w:rsidR="00DC3437" w:rsidRDefault="00197D1E" w:rsidP="00155D6B">
      <w:pPr>
        <w:pStyle w:val="Subtitle"/>
        <w:numPr>
          <w:ilvl w:val="0"/>
          <w:numId w:val="28"/>
        </w:numPr>
      </w:pPr>
      <w:r w:rsidRPr="00197D1E">
        <w:t>RMIS Data Source and Maintenance</w:t>
      </w:r>
    </w:p>
    <w:p w:rsidR="00DC3437" w:rsidRDefault="004F565A" w:rsidP="004F565A">
      <w:pPr>
        <w:pStyle w:val="Heading2"/>
        <w:rPr>
          <w:b/>
          <w:color w:val="auto"/>
        </w:rPr>
      </w:pPr>
      <w:r w:rsidRPr="004F565A">
        <w:rPr>
          <w:b/>
          <w:color w:val="auto"/>
        </w:rPr>
        <w:t>Module 8: The Art and Science of Reserving</w:t>
      </w:r>
    </w:p>
    <w:p w:rsidR="004F565A" w:rsidRDefault="004F565A" w:rsidP="00BE5F38">
      <w:pPr>
        <w:pStyle w:val="Subtitle"/>
        <w:numPr>
          <w:ilvl w:val="0"/>
          <w:numId w:val="30"/>
        </w:numPr>
      </w:pPr>
      <w:r>
        <w:t xml:space="preserve">Components </w:t>
      </w:r>
    </w:p>
    <w:p w:rsidR="00946929" w:rsidRDefault="00946929" w:rsidP="00BE5F38">
      <w:pPr>
        <w:pStyle w:val="Subtitle"/>
        <w:numPr>
          <w:ilvl w:val="0"/>
          <w:numId w:val="30"/>
        </w:numPr>
      </w:pPr>
      <w:r w:rsidRPr="00946929">
        <w:t>Special Considerations</w:t>
      </w:r>
    </w:p>
    <w:p w:rsidR="00BE5F38" w:rsidRDefault="00946929" w:rsidP="00BE5F38">
      <w:pPr>
        <w:pStyle w:val="Subtitle"/>
        <w:numPr>
          <w:ilvl w:val="0"/>
          <w:numId w:val="30"/>
        </w:numPr>
      </w:pPr>
      <w:r>
        <w:t xml:space="preserve">Reserve Errors </w:t>
      </w:r>
      <w:r w:rsidRPr="00946929">
        <w:br/>
        <w:t>Module 9: Managing 1</w:t>
      </w:r>
      <w:r w:rsidRPr="00946929">
        <w:rPr>
          <w:vertAlign w:val="superscript"/>
        </w:rPr>
        <w:t>st</w:t>
      </w:r>
      <w:r w:rsidRPr="00946929">
        <w:t xml:space="preserve"> Party Property Losses</w:t>
      </w:r>
    </w:p>
    <w:p w:rsidR="00DC3437" w:rsidRDefault="00BE5F38" w:rsidP="00BE5F38">
      <w:pPr>
        <w:pStyle w:val="Heading2"/>
        <w:rPr>
          <w:b/>
          <w:color w:val="auto"/>
        </w:rPr>
      </w:pPr>
      <w:r w:rsidRPr="00BE5F38">
        <w:rPr>
          <w:b/>
          <w:color w:val="auto"/>
        </w:rPr>
        <w:t>Module 9: Managing 1st Party Property Losses</w:t>
      </w:r>
    </w:p>
    <w:p w:rsidR="00BE5F38" w:rsidRDefault="00BE5F38" w:rsidP="00BE5F38">
      <w:pPr>
        <w:pStyle w:val="Subtitle"/>
        <w:numPr>
          <w:ilvl w:val="0"/>
          <w:numId w:val="34"/>
        </w:numPr>
      </w:pPr>
      <w:r w:rsidRPr="00BE5F38">
        <w:t>Property Loss Exposures</w:t>
      </w:r>
    </w:p>
    <w:p w:rsidR="00BE5F38" w:rsidRDefault="00BE5F38" w:rsidP="00BE5F38">
      <w:pPr>
        <w:pStyle w:val="Subtitle"/>
        <w:numPr>
          <w:ilvl w:val="0"/>
          <w:numId w:val="34"/>
        </w:numPr>
      </w:pPr>
      <w:r w:rsidRPr="00BE5F38">
        <w:t>Commercial Property Insurance</w:t>
      </w:r>
    </w:p>
    <w:p w:rsidR="00BE5F38" w:rsidRDefault="00BE5F38" w:rsidP="00BE5F38">
      <w:pPr>
        <w:pStyle w:val="Subtitle"/>
        <w:numPr>
          <w:ilvl w:val="0"/>
          <w:numId w:val="34"/>
        </w:numPr>
      </w:pPr>
      <w:r w:rsidRPr="00BE5F38">
        <w:t>Property Policy Provisions</w:t>
      </w:r>
    </w:p>
    <w:p w:rsidR="00BE5F38" w:rsidRDefault="00BE5F38" w:rsidP="00BE5F38">
      <w:pPr>
        <w:pStyle w:val="Subtitle"/>
        <w:numPr>
          <w:ilvl w:val="0"/>
          <w:numId w:val="34"/>
        </w:numPr>
      </w:pPr>
      <w:r w:rsidRPr="00BE5F38">
        <w:t>Commercial Property Coverage Part</w:t>
      </w:r>
    </w:p>
    <w:p w:rsidR="00BE5F38" w:rsidRDefault="00BE5F38" w:rsidP="00BE5F38">
      <w:pPr>
        <w:pStyle w:val="Subtitle"/>
        <w:numPr>
          <w:ilvl w:val="0"/>
          <w:numId w:val="34"/>
        </w:numPr>
      </w:pPr>
      <w:r w:rsidRPr="00BE5F38">
        <w:t>BPP Loss Conditions</w:t>
      </w:r>
    </w:p>
    <w:p w:rsidR="008C720F" w:rsidRDefault="008C720F" w:rsidP="008C720F">
      <w:pPr>
        <w:pStyle w:val="Heading2"/>
        <w:rPr>
          <w:b/>
          <w:color w:val="auto"/>
        </w:rPr>
      </w:pPr>
      <w:r w:rsidRPr="008C720F">
        <w:rPr>
          <w:b/>
          <w:color w:val="auto"/>
        </w:rPr>
        <w:t>Module 10: Managing Fraud Detection and Deterrent</w:t>
      </w:r>
    </w:p>
    <w:p w:rsidR="008C720F" w:rsidRPr="008C720F" w:rsidRDefault="008C720F" w:rsidP="005B28DF">
      <w:pPr>
        <w:pStyle w:val="Subtitle"/>
        <w:numPr>
          <w:ilvl w:val="0"/>
          <w:numId w:val="35"/>
        </w:numPr>
      </w:pPr>
      <w:r w:rsidRPr="008C720F">
        <w:t>Fraud Detection and Prevention</w:t>
      </w:r>
    </w:p>
    <w:p w:rsidR="008C720F" w:rsidRDefault="008C720F" w:rsidP="005B28DF">
      <w:pPr>
        <w:pStyle w:val="Subtitle"/>
        <w:numPr>
          <w:ilvl w:val="0"/>
          <w:numId w:val="35"/>
        </w:numPr>
      </w:pPr>
      <w:r w:rsidRPr="008C720F">
        <w:t>Fraud Indicators</w:t>
      </w:r>
      <w:r>
        <w:t xml:space="preserve"> &amp; </w:t>
      </w:r>
      <w:r w:rsidRPr="008C720F">
        <w:t>Predictors</w:t>
      </w:r>
    </w:p>
    <w:p w:rsidR="008C720F" w:rsidRDefault="008C720F" w:rsidP="005B28DF">
      <w:pPr>
        <w:pStyle w:val="Subtitle"/>
        <w:numPr>
          <w:ilvl w:val="0"/>
          <w:numId w:val="35"/>
        </w:numPr>
      </w:pPr>
      <w:r w:rsidRPr="008C720F">
        <w:t>Surveillance Considerations</w:t>
      </w:r>
      <w:r>
        <w:t xml:space="preserve"> &amp; </w:t>
      </w:r>
      <w:r w:rsidRPr="008C720F">
        <w:t>Privacy Issues</w:t>
      </w:r>
    </w:p>
    <w:p w:rsidR="008C720F" w:rsidRDefault="008C720F" w:rsidP="005B28DF">
      <w:pPr>
        <w:pStyle w:val="Subtitle"/>
        <w:numPr>
          <w:ilvl w:val="0"/>
          <w:numId w:val="35"/>
        </w:numPr>
      </w:pPr>
      <w:r w:rsidRPr="008C720F">
        <w:t>Investigation Techniques</w:t>
      </w:r>
    </w:p>
    <w:p w:rsidR="004332F8" w:rsidRDefault="004332F8" w:rsidP="004332F8">
      <w:pPr>
        <w:pStyle w:val="Subtitle"/>
        <w:numPr>
          <w:ilvl w:val="0"/>
          <w:numId w:val="35"/>
        </w:numPr>
      </w:pPr>
      <w:r w:rsidRPr="004332F8">
        <w:t>Consumer Attitudes</w:t>
      </w:r>
    </w:p>
    <w:p w:rsidR="00D37955" w:rsidRPr="00D37955" w:rsidRDefault="00D37955" w:rsidP="00D37955">
      <w:pPr>
        <w:pStyle w:val="Heading1"/>
        <w:rPr>
          <w:color w:val="auto"/>
          <w:u w:val="single"/>
        </w:rPr>
      </w:pPr>
      <w:r w:rsidRPr="00D37955">
        <w:rPr>
          <w:color w:val="auto"/>
          <w:u w:val="single"/>
        </w:rPr>
        <w:t xml:space="preserve">Day 3 </w:t>
      </w:r>
    </w:p>
    <w:p w:rsidR="004332F8" w:rsidRDefault="004332F8" w:rsidP="004332F8">
      <w:pPr>
        <w:pStyle w:val="Heading2"/>
        <w:rPr>
          <w:b/>
          <w:color w:val="auto"/>
        </w:rPr>
      </w:pPr>
      <w:r w:rsidRPr="004332F8">
        <w:rPr>
          <w:b/>
          <w:color w:val="auto"/>
        </w:rPr>
        <w:t>Module 11: Managing your Broker or Risk Management Consultant</w:t>
      </w:r>
    </w:p>
    <w:p w:rsidR="004332F8" w:rsidRDefault="004332F8" w:rsidP="00D37955">
      <w:pPr>
        <w:pStyle w:val="Subtitle"/>
        <w:numPr>
          <w:ilvl w:val="0"/>
          <w:numId w:val="38"/>
        </w:numPr>
      </w:pPr>
      <w:r w:rsidRPr="004332F8">
        <w:t>Role of the Broker</w:t>
      </w:r>
    </w:p>
    <w:p w:rsidR="004332F8" w:rsidRDefault="004332F8" w:rsidP="00D37955">
      <w:pPr>
        <w:pStyle w:val="Subtitle"/>
        <w:numPr>
          <w:ilvl w:val="0"/>
          <w:numId w:val="38"/>
        </w:numPr>
      </w:pPr>
      <w:r w:rsidRPr="004332F8">
        <w:t>Acquiring Insurance Coverage</w:t>
      </w:r>
    </w:p>
    <w:p w:rsidR="004332F8" w:rsidRDefault="004332F8" w:rsidP="00D37955">
      <w:pPr>
        <w:pStyle w:val="Subtitle"/>
        <w:numPr>
          <w:ilvl w:val="0"/>
          <w:numId w:val="38"/>
        </w:numPr>
      </w:pPr>
      <w:r w:rsidRPr="004332F8">
        <w:t>Conflicts</w:t>
      </w:r>
    </w:p>
    <w:p w:rsidR="004332F8" w:rsidRDefault="004332F8" w:rsidP="00D37955">
      <w:pPr>
        <w:pStyle w:val="Subtitle"/>
        <w:numPr>
          <w:ilvl w:val="0"/>
          <w:numId w:val="36"/>
        </w:numPr>
      </w:pPr>
      <w:r w:rsidRPr="004332F8">
        <w:t>Use of Brokers and Consultants</w:t>
      </w:r>
    </w:p>
    <w:p w:rsidR="004332F8" w:rsidRDefault="004332F8" w:rsidP="004332F8">
      <w:pPr>
        <w:pStyle w:val="Heading2"/>
        <w:rPr>
          <w:b/>
          <w:color w:val="auto"/>
        </w:rPr>
      </w:pPr>
      <w:r w:rsidRPr="004332F8">
        <w:rPr>
          <w:b/>
          <w:color w:val="auto"/>
        </w:rPr>
        <w:t>Module 12: Managing Experts to Win</w:t>
      </w:r>
    </w:p>
    <w:p w:rsidR="00AD4583" w:rsidRDefault="00AD4583" w:rsidP="00D37955">
      <w:pPr>
        <w:pStyle w:val="Subtitle"/>
        <w:numPr>
          <w:ilvl w:val="0"/>
          <w:numId w:val="36"/>
        </w:numPr>
      </w:pPr>
      <w:r>
        <w:t xml:space="preserve">Why Use Experts? </w:t>
      </w:r>
    </w:p>
    <w:p w:rsidR="00AD4583" w:rsidRDefault="00AD4583" w:rsidP="00D37955">
      <w:pPr>
        <w:pStyle w:val="Subtitle"/>
        <w:numPr>
          <w:ilvl w:val="0"/>
          <w:numId w:val="36"/>
        </w:numPr>
      </w:pPr>
      <w:r>
        <w:t xml:space="preserve">Types of Experts </w:t>
      </w:r>
    </w:p>
    <w:p w:rsidR="00AD4583" w:rsidRDefault="00AD4583" w:rsidP="00D37955">
      <w:pPr>
        <w:pStyle w:val="Subtitle"/>
        <w:numPr>
          <w:ilvl w:val="0"/>
          <w:numId w:val="36"/>
        </w:numPr>
      </w:pPr>
      <w:r w:rsidRPr="00AD4583">
        <w:t>Selecting an Expert</w:t>
      </w:r>
    </w:p>
    <w:p w:rsidR="00AD4583" w:rsidRDefault="00AD4583" w:rsidP="00D37955">
      <w:pPr>
        <w:pStyle w:val="Subtitle"/>
        <w:numPr>
          <w:ilvl w:val="0"/>
          <w:numId w:val="36"/>
        </w:numPr>
      </w:pPr>
      <w:r w:rsidRPr="00AD4583">
        <w:t>Qualitative</w:t>
      </w:r>
      <w:r>
        <w:t xml:space="preserve"> &amp; </w:t>
      </w:r>
      <w:r w:rsidRPr="00AD4583">
        <w:t>Quantitative Performance Issues</w:t>
      </w:r>
    </w:p>
    <w:p w:rsidR="00AD4583" w:rsidRDefault="00AD4583" w:rsidP="00D37955">
      <w:pPr>
        <w:pStyle w:val="Subtitle"/>
        <w:numPr>
          <w:ilvl w:val="0"/>
          <w:numId w:val="36"/>
        </w:numPr>
      </w:pPr>
      <w:r w:rsidRPr="00AD4583">
        <w:t>Understand and Manage Your Expectations</w:t>
      </w:r>
    </w:p>
    <w:p w:rsidR="00AD4583" w:rsidRPr="00AD4583" w:rsidRDefault="00AD4583" w:rsidP="00D37955">
      <w:pPr>
        <w:pStyle w:val="Subtitle"/>
        <w:numPr>
          <w:ilvl w:val="0"/>
          <w:numId w:val="36"/>
        </w:numPr>
      </w:pPr>
      <w:r w:rsidRPr="00AD4583">
        <w:t>Testimony</w:t>
      </w:r>
    </w:p>
    <w:p w:rsidR="004332F8" w:rsidRPr="004332F8" w:rsidRDefault="00D37955" w:rsidP="00D37955">
      <w:pPr>
        <w:pStyle w:val="Subtitle"/>
        <w:numPr>
          <w:ilvl w:val="0"/>
          <w:numId w:val="36"/>
        </w:numPr>
      </w:pPr>
      <w:r>
        <w:t xml:space="preserve">Conclusion </w:t>
      </w:r>
    </w:p>
    <w:sectPr w:rsidR="004332F8" w:rsidRPr="004332F8" w:rsidSect="004846BB">
      <w:headerReference w:type="default" r:id="rId7"/>
      <w:footerReference w:type="default" r:id="rId8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97D" w:rsidRDefault="0029297D" w:rsidP="0029297D">
      <w:pPr>
        <w:spacing w:after="0" w:line="240" w:lineRule="auto"/>
      </w:pPr>
      <w:r>
        <w:separator/>
      </w:r>
    </w:p>
  </w:endnote>
  <w:endnote w:type="continuationSeparator" w:id="0">
    <w:p w:rsidR="0029297D" w:rsidRDefault="0029297D" w:rsidP="0029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25646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297D" w:rsidRDefault="004846BB">
        <w:pPr>
          <w:pStyle w:val="Footer"/>
          <w:jc w:val="right"/>
        </w:pPr>
        <w:fldSimple w:instr=" PAGE   \* MERGEFORMAT ">
          <w:r w:rsidR="00F83857">
            <w:rPr>
              <w:noProof/>
            </w:rPr>
            <w:t>1</w:t>
          </w:r>
        </w:fldSimple>
      </w:p>
    </w:sdtContent>
  </w:sdt>
  <w:p w:rsidR="0029297D" w:rsidRPr="0029297D" w:rsidRDefault="0029297D" w:rsidP="0029297D">
    <w:pPr>
      <w:pStyle w:val="Footer"/>
      <w:jc w:val="center"/>
      <w:rPr>
        <w:rStyle w:val="SubtleReference"/>
      </w:rPr>
    </w:pPr>
    <w:r w:rsidRPr="0029297D">
      <w:rPr>
        <w:rStyle w:val="SubtleReference"/>
      </w:rPr>
      <w:t>Copyright © 2020 by Risk and Insurance Management Society, Inc.  All rights reserved.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97D" w:rsidRDefault="0029297D" w:rsidP="0029297D">
      <w:pPr>
        <w:spacing w:after="0" w:line="240" w:lineRule="auto"/>
      </w:pPr>
      <w:r>
        <w:separator/>
      </w:r>
    </w:p>
  </w:footnote>
  <w:footnote w:type="continuationSeparator" w:id="0">
    <w:p w:rsidR="0029297D" w:rsidRDefault="0029297D" w:rsidP="0029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97D" w:rsidRPr="0029297D" w:rsidRDefault="0099356D" w:rsidP="0029297D">
    <w:pPr>
      <w:pStyle w:val="Title"/>
      <w:rPr>
        <w:sz w:val="28"/>
        <w:szCs w:val="28"/>
      </w:rPr>
    </w:pPr>
    <w:r>
      <w:rPr>
        <w:sz w:val="28"/>
        <w:szCs w:val="28"/>
      </w:rPr>
      <w:t>Claims Management</w:t>
    </w:r>
    <w:r w:rsidR="0029297D" w:rsidRPr="0029297D">
      <w:rPr>
        <w:sz w:val="28"/>
        <w:szCs w:val="28"/>
      </w:rPr>
      <w:t xml:space="preserve"> Virtual Workshop Outline</w:t>
    </w:r>
  </w:p>
  <w:p w:rsidR="0029297D" w:rsidRDefault="0029297D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2pt;height:62pt" o:bullet="t">
        <v:imagedata r:id="rId1" o:title="Breakout"/>
      </v:shape>
    </w:pict>
  </w:numPicBullet>
  <w:numPicBullet w:numPicBulletId="1">
    <w:pict>
      <v:shape id="_x0000_i1027" type="#_x0000_t75" style="width:62pt;height:63pt" o:bullet="t">
        <v:imagedata r:id="rId2" o:title="Chat"/>
      </v:shape>
    </w:pict>
  </w:numPicBullet>
  <w:numPicBullet w:numPicBulletId="2">
    <w:pict>
      <v:shape id="_x0000_i1028" type="#_x0000_t75" style="width:49pt;height:48pt" o:bullet="t">
        <v:imagedata r:id="rId3" o:title="Poll"/>
      </v:shape>
    </w:pict>
  </w:numPicBullet>
  <w:numPicBullet w:numPicBulletId="3">
    <w:pict>
      <v:shape id="_x0000_i1029" type="#_x0000_t75" style="width:49pt;height:49pt" o:bullet="t">
        <v:imagedata r:id="rId4" o:title="Individual "/>
      </v:shape>
    </w:pict>
  </w:numPicBullet>
  <w:abstractNum w:abstractNumId="0">
    <w:nsid w:val="03615195"/>
    <w:multiLevelType w:val="hybridMultilevel"/>
    <w:tmpl w:val="0B9235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E36"/>
    <w:multiLevelType w:val="hybridMultilevel"/>
    <w:tmpl w:val="65D2C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8DDF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A7B0A"/>
    <w:multiLevelType w:val="hybridMultilevel"/>
    <w:tmpl w:val="1D7ECC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B43B6"/>
    <w:multiLevelType w:val="hybridMultilevel"/>
    <w:tmpl w:val="6D18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674B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439ED"/>
    <w:multiLevelType w:val="hybridMultilevel"/>
    <w:tmpl w:val="EEC21714"/>
    <w:lvl w:ilvl="0" w:tplc="C988F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E44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5A7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6E5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C80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207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D88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862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20A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E74364A"/>
    <w:multiLevelType w:val="hybridMultilevel"/>
    <w:tmpl w:val="FA08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45710"/>
    <w:multiLevelType w:val="hybridMultilevel"/>
    <w:tmpl w:val="B358A8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24546"/>
    <w:multiLevelType w:val="hybridMultilevel"/>
    <w:tmpl w:val="D7EAD7A8"/>
    <w:lvl w:ilvl="0" w:tplc="93BC397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93BC3974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662241"/>
    <w:multiLevelType w:val="hybridMultilevel"/>
    <w:tmpl w:val="997C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C397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576B0"/>
    <w:multiLevelType w:val="hybridMultilevel"/>
    <w:tmpl w:val="FC06F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B6B31"/>
    <w:multiLevelType w:val="hybridMultilevel"/>
    <w:tmpl w:val="F6FE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F6DA8"/>
    <w:multiLevelType w:val="hybridMultilevel"/>
    <w:tmpl w:val="2E72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D01CE5"/>
    <w:multiLevelType w:val="hybridMultilevel"/>
    <w:tmpl w:val="B480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4502C"/>
    <w:multiLevelType w:val="hybridMultilevel"/>
    <w:tmpl w:val="F15041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406F0"/>
    <w:multiLevelType w:val="hybridMultilevel"/>
    <w:tmpl w:val="9D1C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91190"/>
    <w:multiLevelType w:val="hybridMultilevel"/>
    <w:tmpl w:val="FA3A0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E740A"/>
    <w:multiLevelType w:val="hybridMultilevel"/>
    <w:tmpl w:val="8D3A67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E00C4"/>
    <w:multiLevelType w:val="hybridMultilevel"/>
    <w:tmpl w:val="310AC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55BDE"/>
    <w:multiLevelType w:val="hybridMultilevel"/>
    <w:tmpl w:val="1556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94E208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937A42"/>
    <w:multiLevelType w:val="hybridMultilevel"/>
    <w:tmpl w:val="0DE0CA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942C3"/>
    <w:multiLevelType w:val="hybridMultilevel"/>
    <w:tmpl w:val="E876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CE52FE"/>
    <w:multiLevelType w:val="hybridMultilevel"/>
    <w:tmpl w:val="2694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FC2DE5"/>
    <w:multiLevelType w:val="hybridMultilevel"/>
    <w:tmpl w:val="BDFABF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B848D3"/>
    <w:multiLevelType w:val="hybridMultilevel"/>
    <w:tmpl w:val="12883E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979B8"/>
    <w:multiLevelType w:val="hybridMultilevel"/>
    <w:tmpl w:val="A0FE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AC4739"/>
    <w:multiLevelType w:val="hybridMultilevel"/>
    <w:tmpl w:val="4B32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297ADF"/>
    <w:multiLevelType w:val="hybridMultilevel"/>
    <w:tmpl w:val="0718A4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9F6067"/>
    <w:multiLevelType w:val="hybridMultilevel"/>
    <w:tmpl w:val="52F6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A067D"/>
    <w:multiLevelType w:val="hybridMultilevel"/>
    <w:tmpl w:val="76062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6A51843"/>
    <w:multiLevelType w:val="hybridMultilevel"/>
    <w:tmpl w:val="02A841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B669C"/>
    <w:multiLevelType w:val="hybridMultilevel"/>
    <w:tmpl w:val="569AD698"/>
    <w:lvl w:ilvl="0" w:tplc="450674B2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C3337B7"/>
    <w:multiLevelType w:val="hybridMultilevel"/>
    <w:tmpl w:val="388473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D2620"/>
    <w:multiLevelType w:val="hybridMultilevel"/>
    <w:tmpl w:val="B304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A330B"/>
    <w:multiLevelType w:val="hybridMultilevel"/>
    <w:tmpl w:val="B75CD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497508"/>
    <w:multiLevelType w:val="hybridMultilevel"/>
    <w:tmpl w:val="F7CA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485AEC"/>
    <w:multiLevelType w:val="hybridMultilevel"/>
    <w:tmpl w:val="239EE2C2"/>
    <w:lvl w:ilvl="0" w:tplc="A838DDF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A838DDFA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60A2049"/>
    <w:multiLevelType w:val="hybridMultilevel"/>
    <w:tmpl w:val="82C09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5D70D1"/>
    <w:multiLevelType w:val="hybridMultilevel"/>
    <w:tmpl w:val="68CE2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0"/>
  </w:num>
  <w:num w:numId="4">
    <w:abstractNumId w:val="7"/>
  </w:num>
  <w:num w:numId="5">
    <w:abstractNumId w:val="35"/>
  </w:num>
  <w:num w:numId="6">
    <w:abstractNumId w:val="10"/>
  </w:num>
  <w:num w:numId="7">
    <w:abstractNumId w:val="14"/>
  </w:num>
  <w:num w:numId="8">
    <w:abstractNumId w:val="32"/>
  </w:num>
  <w:num w:numId="9">
    <w:abstractNumId w:val="24"/>
  </w:num>
  <w:num w:numId="10">
    <w:abstractNumId w:val="5"/>
  </w:num>
  <w:num w:numId="11">
    <w:abstractNumId w:val="12"/>
  </w:num>
  <w:num w:numId="12">
    <w:abstractNumId w:val="11"/>
  </w:num>
  <w:num w:numId="13">
    <w:abstractNumId w:val="34"/>
  </w:num>
  <w:num w:numId="14">
    <w:abstractNumId w:val="1"/>
  </w:num>
  <w:num w:numId="15">
    <w:abstractNumId w:val="18"/>
  </w:num>
  <w:num w:numId="16">
    <w:abstractNumId w:val="30"/>
  </w:num>
  <w:num w:numId="17">
    <w:abstractNumId w:val="3"/>
  </w:num>
  <w:num w:numId="18">
    <w:abstractNumId w:val="8"/>
  </w:num>
  <w:num w:numId="19">
    <w:abstractNumId w:val="25"/>
  </w:num>
  <w:num w:numId="20">
    <w:abstractNumId w:val="28"/>
  </w:num>
  <w:num w:numId="21">
    <w:abstractNumId w:val="4"/>
  </w:num>
  <w:num w:numId="22">
    <w:abstractNumId w:val="9"/>
  </w:num>
  <w:num w:numId="23">
    <w:abstractNumId w:val="17"/>
  </w:num>
  <w:num w:numId="24">
    <w:abstractNumId w:val="37"/>
  </w:num>
  <w:num w:numId="25">
    <w:abstractNumId w:val="6"/>
  </w:num>
  <w:num w:numId="26">
    <w:abstractNumId w:val="0"/>
  </w:num>
  <w:num w:numId="27">
    <w:abstractNumId w:val="26"/>
  </w:num>
  <w:num w:numId="28">
    <w:abstractNumId w:val="36"/>
  </w:num>
  <w:num w:numId="29">
    <w:abstractNumId w:val="13"/>
  </w:num>
  <w:num w:numId="30">
    <w:abstractNumId w:val="29"/>
  </w:num>
  <w:num w:numId="31">
    <w:abstractNumId w:val="22"/>
  </w:num>
  <w:num w:numId="32">
    <w:abstractNumId w:val="2"/>
  </w:num>
  <w:num w:numId="33">
    <w:abstractNumId w:val="19"/>
  </w:num>
  <w:num w:numId="34">
    <w:abstractNumId w:val="15"/>
  </w:num>
  <w:num w:numId="35">
    <w:abstractNumId w:val="16"/>
  </w:num>
  <w:num w:numId="36">
    <w:abstractNumId w:val="23"/>
  </w:num>
  <w:num w:numId="37">
    <w:abstractNumId w:val="33"/>
  </w:num>
  <w:num w:numId="38">
    <w:abstractNumId w:val="3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E26"/>
    <w:rsid w:val="00082971"/>
    <w:rsid w:val="000B6386"/>
    <w:rsid w:val="000F11D0"/>
    <w:rsid w:val="00155D6B"/>
    <w:rsid w:val="00197D1E"/>
    <w:rsid w:val="001B3FC4"/>
    <w:rsid w:val="0029297D"/>
    <w:rsid w:val="002E38B0"/>
    <w:rsid w:val="003175C6"/>
    <w:rsid w:val="00332D3A"/>
    <w:rsid w:val="0033503F"/>
    <w:rsid w:val="00373462"/>
    <w:rsid w:val="004332F8"/>
    <w:rsid w:val="00452F14"/>
    <w:rsid w:val="004846BB"/>
    <w:rsid w:val="004F565A"/>
    <w:rsid w:val="005479FF"/>
    <w:rsid w:val="005B28DF"/>
    <w:rsid w:val="005C27BF"/>
    <w:rsid w:val="005D5928"/>
    <w:rsid w:val="006637EB"/>
    <w:rsid w:val="00684BE3"/>
    <w:rsid w:val="006D0B34"/>
    <w:rsid w:val="007300E0"/>
    <w:rsid w:val="007E31AF"/>
    <w:rsid w:val="0089128F"/>
    <w:rsid w:val="008C720F"/>
    <w:rsid w:val="00946929"/>
    <w:rsid w:val="00970C08"/>
    <w:rsid w:val="0099356D"/>
    <w:rsid w:val="009B1E26"/>
    <w:rsid w:val="00A956DA"/>
    <w:rsid w:val="00AD4583"/>
    <w:rsid w:val="00B26964"/>
    <w:rsid w:val="00BD2A8A"/>
    <w:rsid w:val="00BE5F38"/>
    <w:rsid w:val="00C003C3"/>
    <w:rsid w:val="00D37955"/>
    <w:rsid w:val="00D53D7D"/>
    <w:rsid w:val="00D74A24"/>
    <w:rsid w:val="00D80895"/>
    <w:rsid w:val="00DC3437"/>
    <w:rsid w:val="00E82A1F"/>
    <w:rsid w:val="00E935BB"/>
    <w:rsid w:val="00F83857"/>
    <w:rsid w:val="00FA68ED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BB"/>
  </w:style>
  <w:style w:type="paragraph" w:styleId="Heading1">
    <w:name w:val="heading 1"/>
    <w:basedOn w:val="Normal"/>
    <w:next w:val="Normal"/>
    <w:link w:val="Heading1Char"/>
    <w:uiPriority w:val="9"/>
    <w:qFormat/>
    <w:rsid w:val="006637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8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B1E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3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637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E82A1F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FA68ED"/>
    <w:rPr>
      <w:b/>
      <w:bCs/>
      <w:smallCaps/>
      <w:color w:val="4472C4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8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A68ED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D808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D80895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8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895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292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97D"/>
  </w:style>
  <w:style w:type="paragraph" w:styleId="Footer">
    <w:name w:val="footer"/>
    <w:basedOn w:val="Normal"/>
    <w:link w:val="FooterChar"/>
    <w:uiPriority w:val="99"/>
    <w:unhideWhenUsed/>
    <w:rsid w:val="00292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97D"/>
  </w:style>
  <w:style w:type="character" w:styleId="IntenseEmphasis">
    <w:name w:val="Intense Emphasis"/>
    <w:basedOn w:val="DefaultParagraphFont"/>
    <w:uiPriority w:val="21"/>
    <w:qFormat/>
    <w:rsid w:val="0033503F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6D0B34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B26964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92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0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15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0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7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373</Words>
  <Characters>2127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Heather</dc:creator>
  <cp:keywords/>
  <dc:description/>
  <cp:lastModifiedBy>Lewis, Heather</cp:lastModifiedBy>
  <cp:revision>2</cp:revision>
  <dcterms:created xsi:type="dcterms:W3CDTF">2020-05-06T19:17:00Z</dcterms:created>
  <dcterms:modified xsi:type="dcterms:W3CDTF">2020-05-06T19:17:00Z</dcterms:modified>
</cp:coreProperties>
</file>